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E" w:rsidRPr="009A626E" w:rsidRDefault="009A626E" w:rsidP="009A626E">
      <w:pPr>
        <w:shd w:val="clear" w:color="auto" w:fill="FFFFFF"/>
        <w:spacing w:after="300" w:line="240" w:lineRule="auto"/>
        <w:rPr>
          <w:rFonts w:ascii="PT Serif" w:eastAsia="Times New Roman" w:hAnsi="PT Serif" w:cs="Segoe UI"/>
          <w:color w:val="000000"/>
          <w:sz w:val="32"/>
          <w:szCs w:val="32"/>
          <w:lang w:eastAsia="ru-RU"/>
        </w:rPr>
      </w:pPr>
      <w:r w:rsidRPr="009A626E">
        <w:rPr>
          <w:rFonts w:ascii="PT Serif" w:eastAsia="Times New Roman" w:hAnsi="PT Serif" w:cs="Segoe UI"/>
          <w:color w:val="000000"/>
          <w:sz w:val="32"/>
          <w:szCs w:val="32"/>
          <w:lang w:eastAsia="ru-RU"/>
        </w:rPr>
        <w:t xml:space="preserve">Если работник решил сохранить бумажную трудовую книжку и представил соответствующее заявление до 31 декабря 2020 года, это не лишит его права в дальнейшем перейти на электронный вариант документа. Об этом напомнили специалисты Минтруда в письме </w:t>
      </w:r>
      <w:hyperlink r:id="rId5" w:tgtFrame="_blank" w:history="1">
        <w:r w:rsidRPr="009A626E">
          <w:rPr>
            <w:rFonts w:ascii="PT Serif" w:eastAsia="Times New Roman" w:hAnsi="PT Serif" w:cs="Segoe UI"/>
            <w:color w:val="015BC0"/>
            <w:sz w:val="32"/>
            <w:szCs w:val="32"/>
            <w:lang w:eastAsia="ru-RU"/>
          </w:rPr>
          <w:t>от 11.02.20 № 14-2/В-141</w:t>
        </w:r>
      </w:hyperlink>
      <w:r w:rsidRPr="009A626E">
        <w:rPr>
          <w:rFonts w:ascii="PT Serif" w:eastAsia="Times New Roman" w:hAnsi="PT Serif" w:cs="Segoe UI"/>
          <w:color w:val="000000"/>
          <w:sz w:val="32"/>
          <w:szCs w:val="32"/>
          <w:lang w:eastAsia="ru-RU"/>
        </w:rPr>
        <w:t>.</w:t>
      </w:r>
    </w:p>
    <w:p w:rsidR="009A626E" w:rsidRPr="009A626E" w:rsidRDefault="009A626E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  <w:r w:rsidRPr="009A626E"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  <w:t>Как известно, не позднее 30 июня 2020 года все работодатели обязаны письменно проинформировать сотрудников о необходимости сделать выбор между бумажной трудовой книжкой и ее электронной версией.</w:t>
      </w:r>
    </w:p>
    <w:p w:rsidR="009A626E" w:rsidRPr="009A626E" w:rsidRDefault="009A626E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  <w:r w:rsidRPr="009A626E"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  <w:t>Каждый работник, получивший такое уведомление, должен до конца 2020 года сообщить работодателю о своем выборе, подав заявление. В случае, если работник предпочтет электронный формат, работодатель зафиксирует этот факт в бумажной трудовой книжке и вернет ее сотруднику.</w:t>
      </w:r>
    </w:p>
    <w:p w:rsidR="009A626E" w:rsidRPr="009A626E" w:rsidRDefault="009A626E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  <w:r w:rsidRPr="009A626E"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  <w:t xml:space="preserve">Если же работник сообщит, что намерен сохранить бумажную версию документа, работодатель продолжит вести его трудовую книжку на бумажном носителе. При этом такой работник сможет в дальнейшем подать работодателю заявление о переходе на электронную трудовую книжку. Об этом прямо сказано в пункте 5 статьи </w:t>
      </w:r>
      <w:hyperlink r:id="rId6" w:anchor="h7" w:tgtFrame="_blank" w:history="1">
        <w:r w:rsidRPr="009A626E">
          <w:rPr>
            <w:rFonts w:ascii="PT Serif" w:eastAsia="Times New Roman" w:hAnsi="PT Serif" w:cs="Segoe UI"/>
            <w:color w:val="015BC0"/>
            <w:sz w:val="26"/>
            <w:szCs w:val="26"/>
            <w:lang w:eastAsia="ru-RU"/>
          </w:rPr>
          <w:t>2</w:t>
        </w:r>
      </w:hyperlink>
      <w:r w:rsidRPr="009A626E"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  <w:t xml:space="preserve"> Федерального закона от 16.12.19 № 439-ФЗ. Таким образом, даже если сотрудник выбрал бумажный вариант трудовой книжки, а потом передумал, он сможет в любой момент, в том числе после 31 декабря 2020 года, подать заявление о переходе на электронную версию документа.</w:t>
      </w:r>
    </w:p>
    <w:p w:rsidR="009A626E" w:rsidRDefault="009A626E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  <w:r w:rsidRPr="009A626E"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  <w:t>Напомним, что сведения о выбранном порядке ведения трудовой книжки нужно указывать в отчете СЗВ-ТД.</w:t>
      </w: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631DBA" w:rsidRPr="009A626E" w:rsidRDefault="00631DBA" w:rsidP="009A626E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color w:val="000000"/>
          <w:sz w:val="26"/>
          <w:szCs w:val="26"/>
          <w:lang w:eastAsia="ru-RU"/>
        </w:rPr>
      </w:pPr>
    </w:p>
    <w:p w:rsidR="00F0438C" w:rsidRDefault="00F0438C" w:rsidP="00982D96">
      <w:pPr>
        <w:rPr>
          <w:sz w:val="28"/>
          <w:szCs w:val="28"/>
          <w:u w:val="single"/>
        </w:rPr>
      </w:pPr>
    </w:p>
    <w:p w:rsidR="00631DBA" w:rsidRDefault="00631DBA" w:rsidP="00982D96">
      <w:pPr>
        <w:rPr>
          <w:sz w:val="28"/>
          <w:szCs w:val="28"/>
          <w:u w:val="single"/>
        </w:rPr>
      </w:pPr>
    </w:p>
    <w:p w:rsidR="00631DBA" w:rsidRPr="00631DBA" w:rsidRDefault="00631DBA" w:rsidP="00631DBA">
      <w:pPr>
        <w:shd w:val="clear" w:color="auto" w:fill="FFFFFF"/>
        <w:spacing w:after="300" w:line="240" w:lineRule="auto"/>
        <w:rPr>
          <w:rFonts w:ascii="PT Serif" w:eastAsia="Times New Roman" w:hAnsi="PT Serif" w:cs="Arial"/>
          <w:color w:val="000000"/>
          <w:sz w:val="32"/>
          <w:szCs w:val="32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32"/>
          <w:szCs w:val="32"/>
          <w:lang w:eastAsia="ru-RU"/>
        </w:rPr>
        <w:lastRenderedPageBreak/>
        <w:t>Минюст зарегистрировал постановление правления Пенсионного фонда </w:t>
      </w:r>
      <w:hyperlink r:id="rId7" w:tgtFrame="_blank" w:history="1">
        <w:r w:rsidRPr="00631DBA">
          <w:rPr>
            <w:rFonts w:ascii="PT Serif" w:eastAsia="Times New Roman" w:hAnsi="PT Serif" w:cs="Arial"/>
            <w:color w:val="015BC0"/>
            <w:sz w:val="32"/>
            <w:szCs w:val="32"/>
            <w:lang w:eastAsia="ru-RU"/>
          </w:rPr>
          <w:t>от 21.01.20 № 46па</w:t>
        </w:r>
      </w:hyperlink>
      <w:r w:rsidRPr="00631DBA">
        <w:rPr>
          <w:rFonts w:ascii="PT Serif" w:eastAsia="Times New Roman" w:hAnsi="PT Serif" w:cs="Arial"/>
          <w:color w:val="000000"/>
          <w:sz w:val="32"/>
          <w:szCs w:val="32"/>
          <w:lang w:eastAsia="ru-RU"/>
        </w:rPr>
        <w:t>. Данным постановлением утвержден регламент, на основании которого ПФР будет предоставлять физлицам сведения об их трудовой деятельности.</w:t>
      </w:r>
    </w:p>
    <w:p w:rsidR="00631DBA" w:rsidRPr="00631DBA" w:rsidRDefault="00631DBA" w:rsidP="00631DBA">
      <w:pPr>
        <w:shd w:val="clear" w:color="auto" w:fill="FFFFFF"/>
        <w:spacing w:before="525" w:after="300" w:line="312" w:lineRule="atLeast"/>
        <w:outlineLvl w:val="2"/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</w:pPr>
      <w:r w:rsidRPr="00631DBA"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  <w:t>Как получить сведения из электронной трудовой книжки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Напомним, что работодатель, получивший письменное согласие сотрудников, может вести их трудовые книжки в электронном виде.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В этом случае вся информация о трудовой деятельности работников будет храниться на серверах ПФР. Эти сведения можно использовать вместо бумажной трудовой книжки как при трудоустройстве, так и при обращении за пенсией.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Согласно статье </w:t>
      </w:r>
      <w:hyperlink r:id="rId8" w:anchor="h8650" w:tgtFrame="_blank" w:history="1">
        <w:r w:rsidRPr="00631DBA">
          <w:rPr>
            <w:rFonts w:ascii="PT Serif" w:eastAsia="Times New Roman" w:hAnsi="PT Serif" w:cs="Arial"/>
            <w:color w:val="015BC0"/>
            <w:sz w:val="26"/>
            <w:szCs w:val="26"/>
            <w:lang w:eastAsia="ru-RU"/>
          </w:rPr>
          <w:t>66.1</w:t>
        </w:r>
      </w:hyperlink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 ТК РФ, сведения о трудовой деятельности можно получить:</w:t>
      </w:r>
    </w:p>
    <w:p w:rsidR="00631DBA" w:rsidRPr="00631DBA" w:rsidRDefault="00631DBA" w:rsidP="00631DBA">
      <w:pPr>
        <w:numPr>
          <w:ilvl w:val="0"/>
          <w:numId w:val="2"/>
        </w:numPr>
        <w:shd w:val="clear" w:color="auto" w:fill="FFFFFF"/>
        <w:spacing w:after="210" w:line="240" w:lineRule="auto"/>
        <w:ind w:left="-75" w:hanging="312"/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</w:pPr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>у работодателя по последнему месту работы (за период работы у данного работодателя) либо на бумажном носителе, либо в электронном виде;</w:t>
      </w:r>
    </w:p>
    <w:p w:rsidR="00631DBA" w:rsidRPr="00631DBA" w:rsidRDefault="00631DBA" w:rsidP="00631DBA">
      <w:pPr>
        <w:numPr>
          <w:ilvl w:val="0"/>
          <w:numId w:val="2"/>
        </w:numPr>
        <w:shd w:val="clear" w:color="auto" w:fill="FFFFFF"/>
        <w:spacing w:after="210" w:line="240" w:lineRule="auto"/>
        <w:ind w:left="-75" w:hanging="312"/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</w:pPr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>в многофункциональном центре предоставления государственных и муниципальных услуг на бумажном носителе;</w:t>
      </w:r>
    </w:p>
    <w:p w:rsidR="00631DBA" w:rsidRPr="00631DBA" w:rsidRDefault="00631DBA" w:rsidP="00631DBA">
      <w:pPr>
        <w:numPr>
          <w:ilvl w:val="0"/>
          <w:numId w:val="2"/>
        </w:numPr>
        <w:shd w:val="clear" w:color="auto" w:fill="FFFFFF"/>
        <w:spacing w:after="210" w:line="240" w:lineRule="auto"/>
        <w:ind w:left="-75" w:hanging="312"/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</w:pPr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>в Пенсионном фонде либо на бумажном носителе, либо в электронном виде;</w:t>
      </w:r>
    </w:p>
    <w:p w:rsidR="00631DBA" w:rsidRPr="00631DBA" w:rsidRDefault="00631DBA" w:rsidP="00631DBA">
      <w:pPr>
        <w:numPr>
          <w:ilvl w:val="0"/>
          <w:numId w:val="2"/>
        </w:numPr>
        <w:shd w:val="clear" w:color="auto" w:fill="FFFFFF"/>
        <w:spacing w:after="210" w:line="240" w:lineRule="auto"/>
        <w:ind w:left="-75" w:hanging="312"/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</w:pPr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 xml:space="preserve">через портал </w:t>
      </w:r>
      <w:proofErr w:type="spellStart"/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>Госуслуг</w:t>
      </w:r>
      <w:proofErr w:type="spellEnd"/>
      <w:r w:rsidRPr="00631DBA">
        <w:rPr>
          <w:rFonts w:ascii="PT Sans!important" w:eastAsia="Times New Roman" w:hAnsi="PT Sans!important" w:cs="Segoe UI"/>
          <w:color w:val="000000"/>
          <w:sz w:val="26"/>
          <w:szCs w:val="26"/>
          <w:lang w:eastAsia="ru-RU"/>
        </w:rPr>
        <w:t xml:space="preserve"> в электронной форме.</w:t>
      </w:r>
    </w:p>
    <w:p w:rsid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Сведения из электронной трудовой книжки должны предоставить в любом территориальном органе ПФР или в МФЦ, независимо от места жительства или места пребывания физлица.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</w:pPr>
      <w:bookmarkStart w:id="0" w:name="_GoBack"/>
      <w:bookmarkEnd w:id="0"/>
      <w:r w:rsidRPr="00631DBA"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  <w:t>Как получить справку в ПФР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При личном обращении за справкой необходимо подать запрос (его форма приведена в приложении к регламенту) и предъявить паспорт. В запросе нужно указать ФИО, дату рождения, страховой номер (СНИЛС), паспортные данные, номер телефона.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Если в фонд обращается представитель заявителя, необходимо предъявить документ, подтверждающий соответствующие полномочия.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Также запрос можно направить по почте или через Личный кабинет застрахованного лица на сайте ПФР. </w:t>
      </w:r>
    </w:p>
    <w:p w:rsidR="00631DBA" w:rsidRPr="00631DBA" w:rsidRDefault="00631DBA" w:rsidP="00631DBA">
      <w:pPr>
        <w:shd w:val="clear" w:color="auto" w:fill="FFFFFF"/>
        <w:spacing w:before="525" w:after="300" w:line="312" w:lineRule="atLeast"/>
        <w:outlineLvl w:val="2"/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</w:pPr>
      <w:r w:rsidRPr="00631DBA">
        <w:rPr>
          <w:rFonts w:ascii="PT Serif" w:eastAsia="Times New Roman" w:hAnsi="PT Serif" w:cs="Segoe UI"/>
          <w:b/>
          <w:bCs/>
          <w:color w:val="000000"/>
          <w:sz w:val="47"/>
          <w:szCs w:val="47"/>
          <w:lang w:eastAsia="ru-RU"/>
        </w:rPr>
        <w:lastRenderedPageBreak/>
        <w:t>Когда предоставят сведения</w:t>
      </w:r>
    </w:p>
    <w:p w:rsidR="00631DBA" w:rsidRPr="00631DBA" w:rsidRDefault="00631DBA" w:rsidP="00631DBA">
      <w:pPr>
        <w:shd w:val="clear" w:color="auto" w:fill="FFFFFF"/>
        <w:spacing w:before="375" w:after="300" w:line="240" w:lineRule="auto"/>
        <w:rPr>
          <w:rFonts w:ascii="PT Serif" w:eastAsia="Times New Roman" w:hAnsi="PT Serif" w:cs="Arial"/>
          <w:color w:val="000000"/>
          <w:sz w:val="26"/>
          <w:szCs w:val="26"/>
          <w:lang w:eastAsia="ru-RU"/>
        </w:rPr>
      </w:pPr>
      <w:r w:rsidRPr="00631DBA">
        <w:rPr>
          <w:rFonts w:ascii="PT Serif" w:eastAsia="Times New Roman" w:hAnsi="PT Serif" w:cs="Arial"/>
          <w:color w:val="000000"/>
          <w:sz w:val="26"/>
          <w:szCs w:val="26"/>
          <w:lang w:eastAsia="ru-RU"/>
        </w:rPr>
        <w:t>Согласно регламенту, сведения из электронной книжки можно получить непосредственно в день обращения. При этом максимальный срок ожидания в очереди не должен превышать 15 минут. Если запрос направлен по почте, то справку подготовят в течение десяти рабочих дней.</w:t>
      </w:r>
    </w:p>
    <w:p w:rsidR="00631DBA" w:rsidRPr="00F0438C" w:rsidRDefault="00631DBA" w:rsidP="00982D96">
      <w:pPr>
        <w:rPr>
          <w:sz w:val="28"/>
          <w:szCs w:val="28"/>
          <w:u w:val="single"/>
        </w:rPr>
      </w:pPr>
    </w:p>
    <w:p w:rsidR="00982D96" w:rsidRDefault="00982D96" w:rsidP="00982D96"/>
    <w:sectPr w:rsidR="0098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!impor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DB9"/>
    <w:multiLevelType w:val="multilevel"/>
    <w:tmpl w:val="A3E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F63F4"/>
    <w:multiLevelType w:val="hybridMultilevel"/>
    <w:tmpl w:val="B82C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12"/>
    <w:rsid w:val="00042512"/>
    <w:rsid w:val="001676CF"/>
    <w:rsid w:val="00631DBA"/>
    <w:rsid w:val="00791B48"/>
    <w:rsid w:val="00982D96"/>
    <w:rsid w:val="009A626E"/>
    <w:rsid w:val="00F0438C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666E"/>
  <w15:chartTrackingRefBased/>
  <w15:docId w15:val="{CD5BE4FC-A08A-421D-A4B5-3BEFBDCC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33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040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7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6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97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25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4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5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0798&amp;utm_source=buhonline&amp;utm_medium=banner&amp;utm_campaign=normativ-link-normativ-buhonline&amp;utm_content=tag-trudovye-otnosheniya&amp;utm_term=15461&amp;utm_referrer=https%3a%2f%2fyandex.ru%2fclck%2fjsredir%2f%3fbu%3da0x436%26from%3dyandex.ru%3bsearch%2f%3bweb%3b%3b%26text%3d&amp;promocode=0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2210040?index=0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50429&amp;utm_source=buhonline&amp;utm_medium=banner&amp;utm_campaign=normativ-link-normativ-buhonline&amp;utm_content=tag-trudovye-otnosheniya&amp;utm_term=15465&amp;utm_referrer=https%3a%2f%2fyandex.ru%2fclck%2fjsredir%2f%3fbu%3da0x436%26from%3dyandex.ru%3bsearch%2f%3bweb%3b%3b%26text%3d&amp;promocode=0957" TargetMode="External"/><Relationship Id="rId5" Type="http://schemas.openxmlformats.org/officeDocument/2006/relationships/hyperlink" Target="https://www.buhonline.ru/Files/Modules/Publication/15465/MINISTERSTVO_TRUDA_I_SOCIALNOJJ_ZASHHITY.docx?t=15827931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2020-03-05T05:39:00Z</cp:lastPrinted>
  <dcterms:created xsi:type="dcterms:W3CDTF">2020-03-04T08:57:00Z</dcterms:created>
  <dcterms:modified xsi:type="dcterms:W3CDTF">2020-03-05T05:39:00Z</dcterms:modified>
</cp:coreProperties>
</file>