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E3569" w14:textId="40A055BF" w:rsidR="00905699" w:rsidRPr="00C65065" w:rsidRDefault="00905699" w:rsidP="00C65065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065">
        <w:rPr>
          <w:rFonts w:ascii="Times New Roman" w:hAnsi="Times New Roman" w:cs="Times New Roman"/>
          <w:sz w:val="28"/>
          <w:szCs w:val="28"/>
        </w:rPr>
        <w:t xml:space="preserve">Гарантийный фонд Нижегородской области  </w:t>
      </w:r>
      <w:proofErr w:type="gramStart"/>
      <w:r w:rsidRPr="00C650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5065">
        <w:rPr>
          <w:rFonts w:ascii="Times New Roman" w:hAnsi="Times New Roman" w:cs="Times New Roman"/>
          <w:sz w:val="28"/>
          <w:szCs w:val="28"/>
        </w:rPr>
        <w:t>АНО «АРСГ МКК НО»)  разработал специальный продукт для поддержки Начинающих предпринимателей - Субъекты МСП, зарегистрированные менее 12 месяцев на дату заключения договора поручительства.</w:t>
      </w:r>
    </w:p>
    <w:p w14:paraId="3243D03E" w14:textId="77777777" w:rsidR="00905699" w:rsidRPr="00C65065" w:rsidRDefault="00905699" w:rsidP="008C5C26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065">
        <w:rPr>
          <w:rFonts w:ascii="Times New Roman" w:hAnsi="Times New Roman" w:cs="Times New Roman"/>
          <w:sz w:val="28"/>
          <w:szCs w:val="28"/>
        </w:rPr>
        <w:t xml:space="preserve">В рамках данного продукта начинающие предприниматели могут получить заемное финансирование ( кредит, банковскую гарантию, аккредитив, лизинг) под поручительство гарантийного фонда в размере до 25 </w:t>
      </w:r>
      <w:proofErr w:type="gramStart"/>
      <w:r w:rsidRPr="00C6506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65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6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65065">
        <w:rPr>
          <w:rFonts w:ascii="Times New Roman" w:hAnsi="Times New Roman" w:cs="Times New Roman"/>
          <w:sz w:val="28"/>
          <w:szCs w:val="28"/>
        </w:rPr>
        <w:t xml:space="preserve"> ( не более 70% от суммы обязательства по кредитным договорам и договорам о предоставлении банковской гарантии, не более 50% по договорам Лизинга и  аккредитива). </w:t>
      </w:r>
    </w:p>
    <w:p w14:paraId="6E989EDB" w14:textId="77777777" w:rsidR="00905699" w:rsidRPr="00C65065" w:rsidRDefault="00905699" w:rsidP="008C5C26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065">
        <w:rPr>
          <w:rFonts w:ascii="Times New Roman" w:hAnsi="Times New Roman" w:cs="Times New Roman"/>
          <w:sz w:val="28"/>
          <w:szCs w:val="28"/>
        </w:rPr>
        <w:t xml:space="preserve">Начинающим предпринимателям предоставляется льготная ставка  вознаграждения за поручительство 0,5% </w:t>
      </w:r>
      <w:proofErr w:type="gramStart"/>
      <w:r w:rsidRPr="00C65065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C65065">
        <w:rPr>
          <w:rFonts w:ascii="Times New Roman" w:hAnsi="Times New Roman" w:cs="Times New Roman"/>
          <w:sz w:val="28"/>
          <w:szCs w:val="28"/>
        </w:rPr>
        <w:t>;</w:t>
      </w:r>
    </w:p>
    <w:p w14:paraId="24742E20" w14:textId="563A692D" w:rsidR="00905699" w:rsidRDefault="00905699"/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242"/>
        <w:gridCol w:w="2583"/>
        <w:gridCol w:w="9"/>
        <w:gridCol w:w="2714"/>
        <w:gridCol w:w="209"/>
        <w:gridCol w:w="373"/>
        <w:gridCol w:w="2091"/>
      </w:tblGrid>
      <w:tr w:rsidR="008C5C26" w:rsidRPr="00C65065" w14:paraId="4FC96602" w14:textId="77777777" w:rsidTr="008C5C26">
        <w:trPr>
          <w:trHeight w:val="1451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0E99F" w14:textId="1FB08A70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Поручительство</w:t>
            </w:r>
          </w:p>
          <w:p w14:paraId="3C1F81A8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кредитным  договорам</w:t>
            </w:r>
          </w:p>
        </w:tc>
        <w:tc>
          <w:tcPr>
            <w:tcW w:w="282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DDE7A" w14:textId="52BBAA73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Поручительство</w:t>
            </w:r>
          </w:p>
          <w:p w14:paraId="520CBCFF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о предоставлении банковской гарантии</w:t>
            </w:r>
          </w:p>
        </w:tc>
        <w:tc>
          <w:tcPr>
            <w:tcW w:w="272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B51D6" w14:textId="0486EDB9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Поручительство</w:t>
            </w:r>
          </w:p>
          <w:p w14:paraId="263F585C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об открытии аккредитива</w:t>
            </w:r>
          </w:p>
        </w:tc>
        <w:tc>
          <w:tcPr>
            <w:tcW w:w="267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D7E30" w14:textId="475A93EB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Поручительство</w:t>
            </w:r>
          </w:p>
          <w:p w14:paraId="574EDD30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финансовой аренды</w:t>
            </w:r>
          </w:p>
          <w:p w14:paraId="07886DE8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(лизинга)</w:t>
            </w:r>
          </w:p>
        </w:tc>
      </w:tr>
      <w:tr w:rsidR="008C5C26" w:rsidRPr="00C65065" w14:paraId="53C57BC9" w14:textId="77777777" w:rsidTr="008C5C26">
        <w:trPr>
          <w:trHeight w:val="472"/>
        </w:trPr>
        <w:tc>
          <w:tcPr>
            <w:tcW w:w="10915" w:type="dxa"/>
            <w:gridSpan w:val="8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B407A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>Совокупный объем поручительства на Заемщика</w:t>
            </w:r>
          </w:p>
        </w:tc>
      </w:tr>
      <w:tr w:rsidR="008C5C26" w:rsidRPr="00C65065" w14:paraId="57BCBDA3" w14:textId="77777777" w:rsidTr="008C5C26">
        <w:trPr>
          <w:trHeight w:val="592"/>
        </w:trPr>
        <w:tc>
          <w:tcPr>
            <w:tcW w:w="10915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AA469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  <w:b/>
                <w:bCs/>
              </w:rPr>
              <w:t>до 25 000 000 рублей</w:t>
            </w:r>
          </w:p>
        </w:tc>
      </w:tr>
      <w:tr w:rsidR="008C5C26" w:rsidRPr="00C65065" w14:paraId="3F4A2A55" w14:textId="77777777" w:rsidTr="008C5C26">
        <w:trPr>
          <w:trHeight w:val="481"/>
        </w:trPr>
        <w:tc>
          <w:tcPr>
            <w:tcW w:w="10915" w:type="dxa"/>
            <w:gridSpan w:val="8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3F991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>Максимальный размер ответственности по договору поручительства</w:t>
            </w:r>
          </w:p>
        </w:tc>
      </w:tr>
      <w:tr w:rsidR="008C5C26" w:rsidRPr="00C65065" w14:paraId="01443CB3" w14:textId="77777777" w:rsidTr="008C5C26">
        <w:trPr>
          <w:trHeight w:val="653"/>
        </w:trPr>
        <w:tc>
          <w:tcPr>
            <w:tcW w:w="293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6E60F" w14:textId="78E983AC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  <w:b/>
                <w:bCs/>
              </w:rPr>
              <w:t>до 70 %</w:t>
            </w:r>
          </w:p>
        </w:tc>
        <w:tc>
          <w:tcPr>
            <w:tcW w:w="259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48580" w14:textId="316D4D81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  <w:b/>
                <w:bCs/>
              </w:rPr>
              <w:t>до 70 %</w:t>
            </w:r>
          </w:p>
        </w:tc>
        <w:tc>
          <w:tcPr>
            <w:tcW w:w="292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22DE2" w14:textId="4943169E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  <w:b/>
                <w:bCs/>
              </w:rPr>
              <w:t>до 50 %</w:t>
            </w:r>
          </w:p>
        </w:tc>
        <w:tc>
          <w:tcPr>
            <w:tcW w:w="246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6FB49" w14:textId="2DC7938D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  <w:b/>
                <w:bCs/>
              </w:rPr>
              <w:t>до 50 %</w:t>
            </w:r>
          </w:p>
        </w:tc>
      </w:tr>
      <w:tr w:rsidR="008C5C26" w:rsidRPr="00C65065" w14:paraId="7886F8CF" w14:textId="77777777" w:rsidTr="008C5C26">
        <w:trPr>
          <w:trHeight w:val="471"/>
        </w:trPr>
        <w:tc>
          <w:tcPr>
            <w:tcW w:w="10915" w:type="dxa"/>
            <w:gridSpan w:val="8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94DB5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>Вознаграждение</w:t>
            </w:r>
          </w:p>
        </w:tc>
      </w:tr>
      <w:tr w:rsidR="008C5C26" w:rsidRPr="00C65065" w14:paraId="6299877F" w14:textId="77777777" w:rsidTr="008C5C26">
        <w:trPr>
          <w:trHeight w:val="552"/>
        </w:trPr>
        <w:tc>
          <w:tcPr>
            <w:tcW w:w="10915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423A8" w14:textId="5C744E21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  <w:b/>
                <w:bCs/>
              </w:rPr>
              <w:t>0,5% </w:t>
            </w:r>
            <w:proofErr w:type="gramStart"/>
            <w:r w:rsidRPr="00C65065">
              <w:rPr>
                <w:rFonts w:ascii="Times New Roman" w:hAnsi="Times New Roman" w:cs="Times New Roman"/>
              </w:rPr>
              <w:t>годовых</w:t>
            </w:r>
            <w:proofErr w:type="gramEnd"/>
            <w:r w:rsidRPr="00C65065">
              <w:rPr>
                <w:rFonts w:ascii="Times New Roman" w:hAnsi="Times New Roman" w:cs="Times New Roman"/>
              </w:rPr>
              <w:t xml:space="preserve"> от суммы поручительства</w:t>
            </w:r>
          </w:p>
        </w:tc>
      </w:tr>
      <w:tr w:rsidR="008C5C26" w:rsidRPr="00C65065" w14:paraId="2D93E24C" w14:textId="77777777" w:rsidTr="008C5C26">
        <w:trPr>
          <w:trHeight w:val="472"/>
        </w:trPr>
        <w:tc>
          <w:tcPr>
            <w:tcW w:w="10915" w:type="dxa"/>
            <w:gridSpan w:val="8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FEE40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>Срок поручительства</w:t>
            </w:r>
          </w:p>
        </w:tc>
      </w:tr>
      <w:tr w:rsidR="008C5C26" w:rsidRPr="00C65065" w14:paraId="68CD1F7A" w14:textId="77777777" w:rsidTr="008C5C26">
        <w:trPr>
          <w:trHeight w:val="640"/>
        </w:trPr>
        <w:tc>
          <w:tcPr>
            <w:tcW w:w="26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D374E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 xml:space="preserve">до </w:t>
            </w:r>
            <w:r w:rsidRPr="00C65065">
              <w:rPr>
                <w:rFonts w:ascii="Times New Roman" w:hAnsi="Times New Roman" w:cs="Times New Roman"/>
                <w:b/>
                <w:bCs/>
              </w:rPr>
              <w:t>84</w:t>
            </w:r>
            <w:r w:rsidRPr="00C65065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282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F7FEF" w14:textId="788E0055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 xml:space="preserve">до </w:t>
            </w:r>
            <w:r w:rsidRPr="00C65065">
              <w:rPr>
                <w:rFonts w:ascii="Times New Roman" w:hAnsi="Times New Roman" w:cs="Times New Roman"/>
                <w:b/>
                <w:bCs/>
              </w:rPr>
              <w:t>36*</w:t>
            </w:r>
            <w:r w:rsidRPr="00C65065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330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BAA12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 xml:space="preserve">до </w:t>
            </w:r>
            <w:r w:rsidRPr="00C65065">
              <w:rPr>
                <w:rFonts w:ascii="Times New Roman" w:hAnsi="Times New Roman" w:cs="Times New Roman"/>
                <w:b/>
                <w:bCs/>
              </w:rPr>
              <w:t>36</w:t>
            </w:r>
            <w:r w:rsidRPr="00C65065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20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861DC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 xml:space="preserve">до </w:t>
            </w:r>
            <w:r w:rsidRPr="00C65065">
              <w:rPr>
                <w:rFonts w:ascii="Times New Roman" w:hAnsi="Times New Roman" w:cs="Times New Roman"/>
                <w:b/>
                <w:bCs/>
              </w:rPr>
              <w:t>60</w:t>
            </w:r>
            <w:r w:rsidRPr="00C65065">
              <w:rPr>
                <w:rFonts w:ascii="Times New Roman" w:hAnsi="Times New Roman" w:cs="Times New Roman"/>
              </w:rPr>
              <w:t xml:space="preserve"> месяцев</w:t>
            </w:r>
          </w:p>
        </w:tc>
      </w:tr>
      <w:tr w:rsidR="008C5C26" w:rsidRPr="00C65065" w14:paraId="6F221EC5" w14:textId="77777777" w:rsidTr="008C5C26">
        <w:trPr>
          <w:trHeight w:val="640"/>
        </w:trPr>
        <w:tc>
          <w:tcPr>
            <w:tcW w:w="10915" w:type="dxa"/>
            <w:gridSpan w:val="8"/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D6A42" w14:textId="77777777" w:rsidR="008C5C26" w:rsidRPr="00C65065" w:rsidRDefault="008C5C26" w:rsidP="008C5C26">
            <w:pPr>
              <w:jc w:val="center"/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>Условия предоставления поручительства</w:t>
            </w:r>
          </w:p>
        </w:tc>
      </w:tr>
      <w:tr w:rsidR="008C5C26" w:rsidRPr="00C65065" w14:paraId="7A837921" w14:textId="77777777" w:rsidTr="008C5C26">
        <w:trPr>
          <w:trHeight w:val="640"/>
        </w:trPr>
        <w:tc>
          <w:tcPr>
            <w:tcW w:w="10915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35FA2" w14:textId="77777777" w:rsidR="008C5C26" w:rsidRPr="00C65065" w:rsidRDefault="008C5C26" w:rsidP="008C5C26">
            <w:pPr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>До 24 мес.– наличие двух поручительств по сделке,</w:t>
            </w:r>
          </w:p>
          <w:p w14:paraId="1B788B44" w14:textId="77777777" w:rsidR="008C5C26" w:rsidRPr="00C65065" w:rsidRDefault="008C5C26" w:rsidP="008C5C26">
            <w:pPr>
              <w:rPr>
                <w:rFonts w:ascii="Times New Roman" w:hAnsi="Times New Roman" w:cs="Times New Roman"/>
              </w:rPr>
            </w:pPr>
            <w:r w:rsidRPr="00C65065">
              <w:rPr>
                <w:rFonts w:ascii="Times New Roman" w:hAnsi="Times New Roman" w:cs="Times New Roman"/>
              </w:rPr>
              <w:t>Свыше  24 мес. – наличие собственного залога не менее 30% от суммы обязательства</w:t>
            </w:r>
          </w:p>
        </w:tc>
      </w:tr>
    </w:tbl>
    <w:p w14:paraId="19E1C522" w14:textId="7AAFA46D" w:rsidR="008C5C26" w:rsidRPr="00C65065" w:rsidRDefault="008C5C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5065">
        <w:rPr>
          <w:rFonts w:ascii="Times New Roman" w:hAnsi="Times New Roman" w:cs="Times New Roman"/>
          <w:sz w:val="24"/>
          <w:szCs w:val="24"/>
        </w:rPr>
        <w:t>* до 84 месяцев при выдаче банковской гарантии по займам ФРП, ФРМ</w:t>
      </w:r>
      <w:bookmarkEnd w:id="0"/>
    </w:p>
    <w:sectPr w:rsidR="008C5C26" w:rsidRPr="00C6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99"/>
    <w:rsid w:val="003A0ACD"/>
    <w:rsid w:val="003F1F76"/>
    <w:rsid w:val="00424813"/>
    <w:rsid w:val="008C5C26"/>
    <w:rsid w:val="00905699"/>
    <w:rsid w:val="00C23479"/>
    <w:rsid w:val="00C65065"/>
    <w:rsid w:val="00E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F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Имеряков Сергей Н.</dc:creator>
  <cp:lastModifiedBy>Соболева Ольга</cp:lastModifiedBy>
  <cp:revision>3</cp:revision>
  <dcterms:created xsi:type="dcterms:W3CDTF">2021-11-10T13:25:00Z</dcterms:created>
  <dcterms:modified xsi:type="dcterms:W3CDTF">2021-11-10T13:25:00Z</dcterms:modified>
</cp:coreProperties>
</file>